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9A" w:rsidRPr="0026352E" w:rsidRDefault="0019589A" w:rsidP="0019589A">
      <w:pPr>
        <w:spacing w:after="0"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26352E">
        <w:rPr>
          <w:rFonts w:ascii="Times New Roman" w:hAnsi="Times New Roman" w:cs="Times New Roman"/>
          <w:sz w:val="24"/>
          <w:szCs w:val="24"/>
        </w:rPr>
        <w:t xml:space="preserve">Pielikums Nr.1 </w:t>
      </w:r>
    </w:p>
    <w:p w:rsidR="00CF424D" w:rsidRPr="0019589A" w:rsidRDefault="0019589A" w:rsidP="0019589A">
      <w:pPr>
        <w:spacing w:after="0"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19589A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CF424D" w:rsidRPr="0019589A">
        <w:rPr>
          <w:rFonts w:ascii="Times New Roman" w:hAnsi="Times New Roman" w:cs="Times New Roman"/>
          <w:sz w:val="24"/>
          <w:szCs w:val="24"/>
        </w:rPr>
        <w:t xml:space="preserve">Patērētāju </w:t>
      </w:r>
      <w:proofErr w:type="spellStart"/>
      <w:r w:rsidR="00CF424D" w:rsidRPr="0019589A">
        <w:rPr>
          <w:rFonts w:ascii="Times New Roman" w:hAnsi="Times New Roman" w:cs="Times New Roman"/>
          <w:sz w:val="24"/>
          <w:szCs w:val="24"/>
        </w:rPr>
        <w:t>ārpustiesas</w:t>
      </w:r>
      <w:proofErr w:type="spellEnd"/>
      <w:r w:rsidR="00CF424D" w:rsidRPr="0019589A">
        <w:rPr>
          <w:rFonts w:ascii="Times New Roman" w:hAnsi="Times New Roman" w:cs="Times New Roman"/>
          <w:sz w:val="24"/>
          <w:szCs w:val="24"/>
        </w:rPr>
        <w:t xml:space="preserve"> strīdu </w:t>
      </w:r>
      <w:r>
        <w:rPr>
          <w:rFonts w:ascii="Times New Roman" w:hAnsi="Times New Roman" w:cs="Times New Roman"/>
          <w:sz w:val="24"/>
          <w:szCs w:val="24"/>
        </w:rPr>
        <w:t>risinātāju likuma 14.panta trešo daļu</w:t>
      </w:r>
    </w:p>
    <w:p w:rsidR="00CF424D" w:rsidRDefault="00CF424D" w:rsidP="00CF42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F424D" w:rsidRDefault="00CF424D" w:rsidP="00D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5529"/>
        <w:gridCol w:w="5670"/>
      </w:tblGrid>
      <w:tr w:rsidR="00DC4EFF" w:rsidTr="00C72838">
        <w:trPr>
          <w:trHeight w:val="1673"/>
        </w:trPr>
        <w:tc>
          <w:tcPr>
            <w:tcW w:w="5529" w:type="dxa"/>
            <w:shd w:val="clear" w:color="auto" w:fill="DEEAF6" w:themeFill="accent1" w:themeFillTint="33"/>
            <w:vAlign w:val="center"/>
          </w:tcPr>
          <w:p w:rsidR="00DC4EFF" w:rsidRPr="005A4811" w:rsidRDefault="00DC4EFF" w:rsidP="00544AD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F" w:rsidRPr="00E07573" w:rsidRDefault="00DC4EFF" w:rsidP="00E0757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>Juridiskai personai - nosaukums, reģistrācijas numurs, juridiskā adrese/</w:t>
            </w:r>
          </w:p>
          <w:p w:rsidR="00DC4EFF" w:rsidRPr="005A4811" w:rsidRDefault="00DC4EFF" w:rsidP="00E0757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Fiziskai personai </w:t>
            </w:r>
            <w:r w:rsidR="00544ADB"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4ADB"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 w:rsidR="00D02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adrese </w:t>
            </w:r>
          </w:p>
        </w:tc>
        <w:tc>
          <w:tcPr>
            <w:tcW w:w="5670" w:type="dxa"/>
            <w:vAlign w:val="center"/>
          </w:tcPr>
          <w:p w:rsidR="00DC4EFF" w:rsidRDefault="00DC4EFF" w:rsidP="00DC4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EFF" w:rsidTr="00C72838">
        <w:trPr>
          <w:trHeight w:val="1555"/>
        </w:trPr>
        <w:tc>
          <w:tcPr>
            <w:tcW w:w="5529" w:type="dxa"/>
            <w:shd w:val="clear" w:color="auto" w:fill="DEEAF6" w:themeFill="accent1" w:themeFillTint="33"/>
            <w:vAlign w:val="center"/>
          </w:tcPr>
          <w:p w:rsidR="00DC4EFF" w:rsidRPr="00E11069" w:rsidRDefault="005A4811" w:rsidP="00E1106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>Kontakttālrunis,</w:t>
            </w:r>
            <w:r w:rsidR="00D02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faksa numurs, faktiskā</w:t>
            </w:r>
            <w:r w:rsidR="00E11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adrese, e-pasta adrese</w:t>
            </w:r>
          </w:p>
        </w:tc>
        <w:tc>
          <w:tcPr>
            <w:tcW w:w="5670" w:type="dxa"/>
            <w:vAlign w:val="center"/>
          </w:tcPr>
          <w:p w:rsidR="00DC4EFF" w:rsidRDefault="00DC4EFF" w:rsidP="00DC4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069" w:rsidTr="00C72838">
        <w:trPr>
          <w:trHeight w:val="1555"/>
        </w:trPr>
        <w:tc>
          <w:tcPr>
            <w:tcW w:w="5529" w:type="dxa"/>
            <w:shd w:val="clear" w:color="auto" w:fill="DEEAF6" w:themeFill="accent1" w:themeFillTint="33"/>
            <w:vAlign w:val="center"/>
          </w:tcPr>
          <w:p w:rsidR="00E11069" w:rsidRDefault="00E11069" w:rsidP="00E0757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Mājas lapas adrese</w:t>
            </w:r>
          </w:p>
          <w:p w:rsidR="00E11069" w:rsidRPr="00E11069" w:rsidRDefault="00E11069" w:rsidP="00E1106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06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PĀSRL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6.panta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pirmā daļa nosaka, 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ārpustiesas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strīdu risinātājs uztur un aktualizē mājaslapu)</w:t>
            </w:r>
          </w:p>
        </w:tc>
        <w:tc>
          <w:tcPr>
            <w:tcW w:w="5670" w:type="dxa"/>
            <w:vAlign w:val="center"/>
          </w:tcPr>
          <w:p w:rsidR="00E11069" w:rsidRDefault="00E11069" w:rsidP="00DC4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72E" w:rsidTr="00C72838">
        <w:trPr>
          <w:trHeight w:val="1535"/>
        </w:trPr>
        <w:tc>
          <w:tcPr>
            <w:tcW w:w="5529" w:type="dxa"/>
            <w:shd w:val="clear" w:color="auto" w:fill="DEEAF6" w:themeFill="accent1" w:themeFillTint="33"/>
            <w:vAlign w:val="center"/>
          </w:tcPr>
          <w:p w:rsidR="002F572E" w:rsidRDefault="002F572E" w:rsidP="00E0757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Ārpustiesas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strīdu risinātāja struktūra</w:t>
            </w:r>
          </w:p>
          <w:p w:rsidR="006A6430" w:rsidRDefault="002F572E" w:rsidP="00E0757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7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Saskaņā ar PĀSRL 6.panta septīto</w:t>
            </w:r>
            <w:r w:rsidR="006A6430">
              <w:rPr>
                <w:rFonts w:ascii="Times New Roman" w:hAnsi="Times New Roman" w:cs="Times New Roman"/>
                <w:sz w:val="20"/>
                <w:szCs w:val="20"/>
              </w:rPr>
              <w:t xml:space="preserve"> un astoto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daļu, 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ārpustiesas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strīdu risinātājs strīdu izskata koleģiāli, izskatīšanā vienādā skaitā iekļauj fiziskās personas, kas pārstāv patērētāju intereses un saimnieciskās vai profesionālās darbības veicēju intereses.</w:t>
            </w:r>
          </w:p>
          <w:p w:rsidR="006A6430" w:rsidRPr="00E07573" w:rsidRDefault="006A6430" w:rsidP="006A6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07573">
              <w:rPr>
                <w:rFonts w:ascii="Times New Roman" w:hAnsi="Times New Roman" w:cs="Times New Roman"/>
                <w:sz w:val="20"/>
                <w:szCs w:val="20"/>
              </w:rPr>
              <w:t xml:space="preserve">Saskaņā ar PĀSRL 6.panta astoto un devīto daļu </w:t>
            </w:r>
            <w:proofErr w:type="spellStart"/>
            <w:r w:rsidRPr="00E075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ārpustiesas</w:t>
            </w:r>
            <w:proofErr w:type="spellEnd"/>
            <w:r w:rsidRPr="00E075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strīdu risinātājs nodrošina, ka fiziskā persona, kas iesaistīta strīda risināšanā, ir neatkarīga un objektīva attiecībā uz izskatāmo strīdu un atbilst šādām prasībām:</w:t>
            </w:r>
          </w:p>
          <w:p w:rsidR="006A6430" w:rsidRPr="00E07573" w:rsidRDefault="006A6430" w:rsidP="006A643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075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1) tai ir zināšanas un prasmes patērētāju </w:t>
            </w:r>
            <w:proofErr w:type="spellStart"/>
            <w:r w:rsidRPr="00E075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ārpustiesas</w:t>
            </w:r>
            <w:proofErr w:type="spellEnd"/>
            <w:r w:rsidRPr="00E075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strīdu risināšanā vai strīdu risināšanā tiesā, kā arī vispārīgas zināšanas par tiesību normām un principiem;</w:t>
            </w:r>
          </w:p>
          <w:p w:rsidR="006A6430" w:rsidRPr="00E07573" w:rsidRDefault="006A6430" w:rsidP="006A643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075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2) tā ir iecelta amatā uz pietiekami ilgu laiku, lai nodrošinātu tās neatkarību, un to nevar atbrīvot bez pamatota iemesla;</w:t>
            </w:r>
          </w:p>
          <w:p w:rsidR="006A6430" w:rsidRPr="00E07573" w:rsidRDefault="006A6430" w:rsidP="006A643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075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3) tā nav pakļauta strīda pušu vai to pārstāvja norādījumiem darba vai citu tiesisko attiecību ietvaros;</w:t>
            </w:r>
          </w:p>
          <w:p w:rsidR="002F572E" w:rsidRPr="006A6430" w:rsidRDefault="006A6430" w:rsidP="006A643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075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4) tās atlīdzība nav saistīta ar strīdu risināšanas rezultātu.</w:t>
            </w:r>
            <w:r w:rsidR="002F57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  <w:vAlign w:val="center"/>
          </w:tcPr>
          <w:p w:rsidR="002F572E" w:rsidRPr="00D0230F" w:rsidRDefault="002F572E" w:rsidP="008A36E1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4EFF" w:rsidTr="00C72838">
        <w:trPr>
          <w:trHeight w:val="885"/>
        </w:trPr>
        <w:tc>
          <w:tcPr>
            <w:tcW w:w="5529" w:type="dxa"/>
            <w:shd w:val="clear" w:color="auto" w:fill="DEEAF6" w:themeFill="accent1" w:themeFillTint="33"/>
            <w:vAlign w:val="center"/>
          </w:tcPr>
          <w:p w:rsidR="00DC4EFF" w:rsidRPr="00E07573" w:rsidRDefault="002F572E" w:rsidP="00E0757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Ārpustiesas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strīdu risinātāja </w:t>
            </w:r>
            <w:r w:rsidR="00DC4EFF"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finansējums, tai skaitā informācija par tās personas (vai vairāku personu) atalgojumu, pilnvaru termiņu un darba devēju, kura ir atbildīga par </w:t>
            </w:r>
            <w:proofErr w:type="spellStart"/>
            <w:r w:rsidR="00DC4EFF"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>ārpustiesas</w:t>
            </w:r>
            <w:proofErr w:type="spellEnd"/>
            <w:r w:rsidR="00DC4EFF"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strīdu risināšanu</w:t>
            </w:r>
          </w:p>
          <w:p w:rsidR="00E07573" w:rsidRPr="00E07573" w:rsidRDefault="00E07573" w:rsidP="002F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075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Ja </w:t>
            </w:r>
            <w:proofErr w:type="spellStart"/>
            <w:r w:rsidRPr="00E075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ārpustiesas</w:t>
            </w:r>
            <w:proofErr w:type="spellEnd"/>
            <w:r w:rsidRPr="00E075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strīdu risināšanā iesaistīto personu nodarbina vai tai atlīdzību maksā biedrība, kuras biedrs ir pārdevējs vai pakalpojuma sniedzējs, biedrība </w:t>
            </w:r>
            <w:proofErr w:type="spellStart"/>
            <w:r w:rsidRPr="00E075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ārpustiesas</w:t>
            </w:r>
            <w:proofErr w:type="spellEnd"/>
            <w:r w:rsidRPr="00E075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strīdu risinātājam veido atsevišķu budžetu, kas ir pietiekams tā uzdevumu izpildei. Šo prasību nepiemēro, ja </w:t>
            </w:r>
            <w:proofErr w:type="spellStart"/>
            <w:r w:rsidRPr="00E075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ārpustiesas</w:t>
            </w:r>
            <w:proofErr w:type="spellEnd"/>
            <w:r w:rsidRPr="00E075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strīdu risinātājs strīdu izskata koleģiāli, vienādā skaitā piedaloties personām, kas pārstāv patērētāju intereses un saimnieciskās vai profesionālās darbības veicēju intereses.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:rsidR="00E07573" w:rsidRPr="005A4811" w:rsidRDefault="00E07573" w:rsidP="00544AD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C4EFF" w:rsidRDefault="00DC4EFF" w:rsidP="00DC4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64" w:rsidTr="00C72838">
        <w:trPr>
          <w:trHeight w:val="1594"/>
        </w:trPr>
        <w:tc>
          <w:tcPr>
            <w:tcW w:w="5529" w:type="dxa"/>
            <w:shd w:val="clear" w:color="auto" w:fill="DEEAF6" w:themeFill="accent1" w:themeFillTint="33"/>
            <w:vAlign w:val="center"/>
          </w:tcPr>
          <w:p w:rsidR="00E57B64" w:rsidRDefault="00E57B64" w:rsidP="00E0757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Ārpustiesas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strīdu risināšanas kārtība</w:t>
            </w:r>
          </w:p>
        </w:tc>
        <w:tc>
          <w:tcPr>
            <w:tcW w:w="5670" w:type="dxa"/>
            <w:vAlign w:val="center"/>
          </w:tcPr>
          <w:p w:rsidR="00E57B64" w:rsidRPr="00222022" w:rsidRDefault="00E57B64" w:rsidP="00E075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vanish/>
                <w:color w:val="414142"/>
                <w:sz w:val="24"/>
                <w:szCs w:val="24"/>
                <w:lang w:eastAsia="lv-LV"/>
              </w:rPr>
            </w:pPr>
          </w:p>
        </w:tc>
      </w:tr>
      <w:tr w:rsidR="00222022" w:rsidTr="00C72838">
        <w:trPr>
          <w:trHeight w:val="885"/>
        </w:trPr>
        <w:tc>
          <w:tcPr>
            <w:tcW w:w="5529" w:type="dxa"/>
            <w:shd w:val="clear" w:color="auto" w:fill="DEEAF6" w:themeFill="accent1" w:themeFillTint="33"/>
            <w:vAlign w:val="center"/>
          </w:tcPr>
          <w:p w:rsidR="00222022" w:rsidRDefault="00222022" w:rsidP="00E0757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>nformācija par to, vai strīda risināšana notiek mutvārdu vai rakstveida procesā</w:t>
            </w:r>
          </w:p>
        </w:tc>
        <w:tc>
          <w:tcPr>
            <w:tcW w:w="5670" w:type="dxa"/>
            <w:vAlign w:val="center"/>
          </w:tcPr>
          <w:p w:rsidR="00222022" w:rsidRPr="00222022" w:rsidRDefault="00222022" w:rsidP="00E075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4"/>
                <w:szCs w:val="24"/>
                <w:lang w:eastAsia="lv-LV"/>
              </w:rPr>
            </w:pPr>
          </w:p>
        </w:tc>
      </w:tr>
      <w:tr w:rsidR="005A4811" w:rsidTr="00C72838">
        <w:trPr>
          <w:trHeight w:val="1726"/>
        </w:trPr>
        <w:tc>
          <w:tcPr>
            <w:tcW w:w="5529" w:type="dxa"/>
            <w:shd w:val="clear" w:color="auto" w:fill="DEEAF6" w:themeFill="accent1" w:themeFillTint="33"/>
            <w:vAlign w:val="center"/>
          </w:tcPr>
          <w:p w:rsidR="005A4811" w:rsidRPr="00E07573" w:rsidRDefault="00222022" w:rsidP="0022202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  <w:r w:rsidR="005A4811"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nformācija par to, vai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ārpustiesas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strīda risinājumam piemīt saistošs vai nesaistošs raksturs</w:t>
            </w:r>
          </w:p>
        </w:tc>
        <w:tc>
          <w:tcPr>
            <w:tcW w:w="5670" w:type="dxa"/>
            <w:vAlign w:val="center"/>
          </w:tcPr>
          <w:p w:rsidR="005A4811" w:rsidRPr="00222022" w:rsidRDefault="005A4811" w:rsidP="008A36E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4811" w:rsidTr="00C72838">
        <w:trPr>
          <w:trHeight w:val="1409"/>
        </w:trPr>
        <w:tc>
          <w:tcPr>
            <w:tcW w:w="5529" w:type="dxa"/>
            <w:shd w:val="clear" w:color="auto" w:fill="DEEAF6" w:themeFill="accent1" w:themeFillTint="33"/>
            <w:vAlign w:val="center"/>
          </w:tcPr>
          <w:p w:rsidR="005A4811" w:rsidRDefault="005A4811" w:rsidP="00E0757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Maksa par </w:t>
            </w:r>
            <w:proofErr w:type="spellStart"/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>ārpustiesas</w:t>
            </w:r>
            <w:proofErr w:type="spellEnd"/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strīdu risināšanu, ja tāda ir noteikta</w:t>
            </w:r>
          </w:p>
          <w:p w:rsidR="008806D2" w:rsidRPr="008806D2" w:rsidRDefault="008806D2" w:rsidP="00E0757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6D2">
              <w:rPr>
                <w:rFonts w:ascii="Times New Roman" w:hAnsi="Times New Roman" w:cs="Times New Roman"/>
                <w:sz w:val="20"/>
                <w:szCs w:val="20"/>
              </w:rPr>
              <w:t xml:space="preserve">(Saskaņā ar PĀSRL 6.panta sestās daļas 3.punktu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ā</w:t>
            </w:r>
            <w:r w:rsidRPr="008806D2">
              <w:rPr>
                <w:rFonts w:ascii="Times New Roman" w:hAnsi="Times New Roman" w:cs="Times New Roman"/>
                <w:sz w:val="20"/>
                <w:szCs w:val="20"/>
              </w:rPr>
              <w:t>rpustiesas</w:t>
            </w:r>
            <w:proofErr w:type="spellEnd"/>
            <w:r w:rsidRPr="008806D2">
              <w:rPr>
                <w:rFonts w:ascii="Times New Roman" w:hAnsi="Times New Roman" w:cs="Times New Roman"/>
                <w:sz w:val="20"/>
                <w:szCs w:val="20"/>
              </w:rPr>
              <w:t xml:space="preserve"> strīdu risinātājs nodrošina, ka  strīda risināšana ir bez maksas vai par samērīgu maksu.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  <w:vAlign w:val="center"/>
          </w:tcPr>
          <w:p w:rsidR="005A4811" w:rsidRDefault="005A4811" w:rsidP="008A36E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811" w:rsidTr="00C72838">
        <w:trPr>
          <w:trHeight w:val="885"/>
        </w:trPr>
        <w:tc>
          <w:tcPr>
            <w:tcW w:w="5529" w:type="dxa"/>
            <w:shd w:val="clear" w:color="auto" w:fill="DEEAF6" w:themeFill="accent1" w:themeFillTint="33"/>
            <w:vAlign w:val="center"/>
          </w:tcPr>
          <w:p w:rsidR="005A4811" w:rsidRDefault="005A4811" w:rsidP="00E0757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Paredzamais </w:t>
            </w:r>
            <w:proofErr w:type="spellStart"/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>ārpustiesas</w:t>
            </w:r>
            <w:proofErr w:type="spellEnd"/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strīdu risināšanas ilgums</w:t>
            </w:r>
          </w:p>
          <w:p w:rsidR="00FB1891" w:rsidRPr="00FB1891" w:rsidRDefault="00FB1891" w:rsidP="00E0757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91">
              <w:rPr>
                <w:rFonts w:ascii="Times New Roman" w:hAnsi="Times New Roman" w:cs="Times New Roman"/>
                <w:sz w:val="20"/>
                <w:szCs w:val="20"/>
              </w:rPr>
              <w:t xml:space="preserve">(Saskaņā ar PĀSRL 12.panta pirmo daļu </w:t>
            </w:r>
            <w:proofErr w:type="spellStart"/>
            <w:r w:rsidRPr="00FB1891">
              <w:rPr>
                <w:rFonts w:ascii="Times New Roman" w:hAnsi="Times New Roman" w:cs="Times New Roman"/>
                <w:sz w:val="20"/>
                <w:szCs w:val="20"/>
              </w:rPr>
              <w:t>ārpustiesas</w:t>
            </w:r>
            <w:proofErr w:type="spellEnd"/>
            <w:r w:rsidRPr="00FB1891">
              <w:rPr>
                <w:rFonts w:ascii="Times New Roman" w:hAnsi="Times New Roman" w:cs="Times New Roman"/>
                <w:sz w:val="20"/>
                <w:szCs w:val="20"/>
              </w:rPr>
              <w:t xml:space="preserve"> strīdu risinātājs nodrošina strīda izskatīšanu un paziņo strīda pusēm par strīda risināšanas rezultātu 90 dienu laikā no dienas, kad tas saņēmis visus ar strīda risināšanu saistītos dokumentus. Sarežģītu strīdu gadījumā </w:t>
            </w:r>
            <w:proofErr w:type="spellStart"/>
            <w:r w:rsidRPr="00FB1891">
              <w:rPr>
                <w:rFonts w:ascii="Times New Roman" w:hAnsi="Times New Roman" w:cs="Times New Roman"/>
                <w:sz w:val="20"/>
                <w:szCs w:val="20"/>
              </w:rPr>
              <w:t>ārpustiesas</w:t>
            </w:r>
            <w:proofErr w:type="spellEnd"/>
            <w:r w:rsidRPr="00FB1891">
              <w:rPr>
                <w:rFonts w:ascii="Times New Roman" w:hAnsi="Times New Roman" w:cs="Times New Roman"/>
                <w:sz w:val="20"/>
                <w:szCs w:val="20"/>
              </w:rPr>
              <w:t xml:space="preserve"> strīdu risinātājs ir tiesīgs pagarināt minēto termiņu)</w:t>
            </w:r>
          </w:p>
        </w:tc>
        <w:tc>
          <w:tcPr>
            <w:tcW w:w="5670" w:type="dxa"/>
            <w:vAlign w:val="center"/>
          </w:tcPr>
          <w:p w:rsidR="005A4811" w:rsidRDefault="005A4811" w:rsidP="002D73A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811" w:rsidTr="00C72838">
        <w:trPr>
          <w:trHeight w:val="1726"/>
        </w:trPr>
        <w:tc>
          <w:tcPr>
            <w:tcW w:w="5529" w:type="dxa"/>
            <w:shd w:val="clear" w:color="auto" w:fill="DEEAF6" w:themeFill="accent1" w:themeFillTint="33"/>
            <w:vAlign w:val="center"/>
          </w:tcPr>
          <w:p w:rsidR="005A4811" w:rsidRPr="00E07573" w:rsidRDefault="005823A1" w:rsidP="005823A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valodām, kādās var iesniegt</w:t>
            </w:r>
            <w:r w:rsidR="005A4811"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iesniegumu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strīda risināšanai</w:t>
            </w:r>
            <w:r w:rsidR="005A4811"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5A4811" w:rsidRDefault="005A4811" w:rsidP="00582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3A1" w:rsidTr="00C72838">
        <w:trPr>
          <w:trHeight w:val="1726"/>
        </w:trPr>
        <w:tc>
          <w:tcPr>
            <w:tcW w:w="5529" w:type="dxa"/>
            <w:shd w:val="clear" w:color="auto" w:fill="DEEAF6" w:themeFill="accent1" w:themeFillTint="33"/>
            <w:vAlign w:val="center"/>
          </w:tcPr>
          <w:p w:rsidR="005823A1" w:rsidRDefault="005823A1" w:rsidP="00E0757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valodām,</w:t>
            </w:r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kādās </w:t>
            </w:r>
            <w:proofErr w:type="spellStart"/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>ārpustiesas</w:t>
            </w:r>
            <w:proofErr w:type="spellEnd"/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strīdu risinātājs</w:t>
            </w:r>
            <w:proofErr w:type="gramStart"/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>piedāvā pārrobežu strīdu risināšanu</w:t>
            </w:r>
          </w:p>
          <w:p w:rsidR="00FF583B" w:rsidRPr="00FF583B" w:rsidRDefault="00FF583B" w:rsidP="00FF583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823A1" w:rsidRDefault="005823A1" w:rsidP="005823A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811" w:rsidTr="00C72838">
        <w:trPr>
          <w:trHeight w:val="1688"/>
        </w:trPr>
        <w:tc>
          <w:tcPr>
            <w:tcW w:w="5529" w:type="dxa"/>
            <w:shd w:val="clear" w:color="auto" w:fill="DEEAF6" w:themeFill="accent1" w:themeFillTint="33"/>
            <w:vAlign w:val="center"/>
          </w:tcPr>
          <w:p w:rsidR="005A4811" w:rsidRDefault="005A4811" w:rsidP="00E0757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Strīdi, kurus risina </w:t>
            </w:r>
            <w:proofErr w:type="spellStart"/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>ārpustiesas</w:t>
            </w:r>
            <w:proofErr w:type="spellEnd"/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strīdu risinātājs</w:t>
            </w:r>
          </w:p>
          <w:p w:rsidR="005C3036" w:rsidRPr="005C3036" w:rsidRDefault="005C3036" w:rsidP="005C30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036">
              <w:rPr>
                <w:rFonts w:ascii="Times New Roman" w:hAnsi="Times New Roman" w:cs="Times New Roman"/>
                <w:sz w:val="20"/>
                <w:szCs w:val="20"/>
              </w:rPr>
              <w:t>(PĀSRL 3.panta ceturtā daļa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nosaka strīdu, kuriem PĀSRL netiek piemērots) </w:t>
            </w:r>
          </w:p>
        </w:tc>
        <w:tc>
          <w:tcPr>
            <w:tcW w:w="5670" w:type="dxa"/>
            <w:vAlign w:val="center"/>
          </w:tcPr>
          <w:p w:rsidR="005A4811" w:rsidRDefault="005A4811" w:rsidP="00936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811" w:rsidTr="00C72838">
        <w:trPr>
          <w:trHeight w:val="885"/>
        </w:trPr>
        <w:tc>
          <w:tcPr>
            <w:tcW w:w="5529" w:type="dxa"/>
            <w:shd w:val="clear" w:color="auto" w:fill="DEEAF6" w:themeFill="accent1" w:themeFillTint="33"/>
            <w:vAlign w:val="center"/>
          </w:tcPr>
          <w:p w:rsidR="005A4811" w:rsidRDefault="005A4811" w:rsidP="00E0757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Gadījumi, kādos </w:t>
            </w:r>
            <w:proofErr w:type="spellStart"/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>ārpustiesas</w:t>
            </w:r>
            <w:proofErr w:type="spellEnd"/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strīdu risinātājs </w:t>
            </w:r>
            <w:r w:rsidR="00AE2987"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>atsaka</w:t>
            </w:r>
            <w:r w:rsidRPr="00E0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izskatīt strīdu saskaņā ar PĀSRL 5.panta ceturto daļu</w:t>
            </w:r>
          </w:p>
          <w:p w:rsidR="00FB1891" w:rsidRPr="00FB1891" w:rsidRDefault="00FB1891" w:rsidP="00FB1891">
            <w:pPr>
              <w:pStyle w:val="tv2131"/>
              <w:spacing w:line="240" w:lineRule="auto"/>
              <w:ind w:firstLine="301"/>
              <w:jc w:val="both"/>
              <w:rPr>
                <w:color w:val="auto"/>
              </w:rPr>
            </w:pPr>
            <w:r w:rsidRPr="00FB1891">
              <w:rPr>
                <w:color w:val="auto"/>
              </w:rPr>
              <w:t>(Strīda risināšanas procesa noteikumos var paredzēt tiesības atteikties izskatīt strīdu, ja:</w:t>
            </w:r>
          </w:p>
          <w:p w:rsidR="00FB1891" w:rsidRPr="00FB1891" w:rsidRDefault="00FB1891" w:rsidP="00FB1891">
            <w:pPr>
              <w:pStyle w:val="tv2131"/>
              <w:spacing w:line="240" w:lineRule="auto"/>
              <w:ind w:firstLine="301"/>
              <w:jc w:val="both"/>
              <w:rPr>
                <w:color w:val="auto"/>
              </w:rPr>
            </w:pPr>
            <w:r w:rsidRPr="00FB1891">
              <w:rPr>
                <w:color w:val="auto"/>
              </w:rPr>
              <w:t>1) strīds ir nenozīmīgs vai sīkumains;</w:t>
            </w:r>
          </w:p>
          <w:p w:rsidR="00FB1891" w:rsidRPr="00FB1891" w:rsidRDefault="00FB1891" w:rsidP="00FB1891">
            <w:pPr>
              <w:pStyle w:val="tv2131"/>
              <w:spacing w:line="240" w:lineRule="auto"/>
              <w:ind w:firstLine="301"/>
              <w:jc w:val="both"/>
              <w:rPr>
                <w:color w:val="auto"/>
              </w:rPr>
            </w:pPr>
            <w:r w:rsidRPr="00FB1891">
              <w:rPr>
                <w:color w:val="auto"/>
              </w:rPr>
              <w:t xml:space="preserve">2) strīds ir par preci vai pakalpojumu, kura cena ir mazāka par </w:t>
            </w:r>
            <w:proofErr w:type="spellStart"/>
            <w:r w:rsidRPr="00FB1891">
              <w:rPr>
                <w:color w:val="auto"/>
              </w:rPr>
              <w:t>ārpustiesas</w:t>
            </w:r>
            <w:proofErr w:type="spellEnd"/>
            <w:r w:rsidRPr="00FB1891">
              <w:rPr>
                <w:color w:val="auto"/>
              </w:rPr>
              <w:t xml:space="preserve"> strīdu risinātāja iepriekš noteikto minimālo summu vai lielāka par </w:t>
            </w:r>
            <w:proofErr w:type="spellStart"/>
            <w:r w:rsidRPr="00FB1891">
              <w:rPr>
                <w:color w:val="auto"/>
              </w:rPr>
              <w:t>ārpustiesas</w:t>
            </w:r>
            <w:proofErr w:type="spellEnd"/>
            <w:r w:rsidRPr="00FB1891">
              <w:rPr>
                <w:color w:val="auto"/>
              </w:rPr>
              <w:t xml:space="preserve"> strīdu risinātāja iepriekš noteikto maksimālo summu;</w:t>
            </w:r>
          </w:p>
          <w:p w:rsidR="00FB1891" w:rsidRPr="00FB1891" w:rsidRDefault="00FB1891" w:rsidP="00FB1891">
            <w:pPr>
              <w:pStyle w:val="tv2131"/>
              <w:spacing w:line="240" w:lineRule="auto"/>
              <w:ind w:firstLine="301"/>
              <w:jc w:val="both"/>
            </w:pPr>
            <w:r w:rsidRPr="00FB1891">
              <w:rPr>
                <w:color w:val="auto"/>
              </w:rPr>
              <w:t xml:space="preserve">3) konkrētā strīda risināšana radītu nopietnus traucējumus </w:t>
            </w:r>
            <w:proofErr w:type="spellStart"/>
            <w:r w:rsidRPr="00FB1891">
              <w:rPr>
                <w:color w:val="auto"/>
              </w:rPr>
              <w:t>ārpustiesas</w:t>
            </w:r>
            <w:proofErr w:type="spellEnd"/>
            <w:r w:rsidRPr="00FB1891">
              <w:rPr>
                <w:color w:val="auto"/>
              </w:rPr>
              <w:t xml:space="preserve"> strīdu risinātāja efektīvai darbībai</w:t>
            </w:r>
            <w:r>
              <w:rPr>
                <w:color w:val="auto"/>
              </w:rPr>
              <w:t>)</w:t>
            </w:r>
          </w:p>
          <w:p w:rsidR="00FB1891" w:rsidRPr="00FB1891" w:rsidRDefault="00FB1891" w:rsidP="00E0757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A4811" w:rsidRDefault="005A4811" w:rsidP="009B0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073F" w:rsidRPr="006A3AEE" w:rsidRDefault="009F073F" w:rsidP="009F073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9F073F" w:rsidRDefault="009F073F" w:rsidP="009F073F">
      <w:pPr>
        <w:spacing w:after="0" w:line="240" w:lineRule="auto"/>
        <w:ind w:left="-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 ____________________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                                             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lv-LV"/>
        </w:rPr>
        <w:t>________________________</w:t>
      </w:r>
      <w:r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</w:t>
      </w:r>
    </w:p>
    <w:p w:rsidR="009F073F" w:rsidRPr="006A3AEE" w:rsidRDefault="009F073F" w:rsidP="009F073F">
      <w:pPr>
        <w:spacing w:after="0" w:line="240" w:lineRule="auto"/>
        <w:ind w:left="-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   </w:t>
      </w:r>
      <w:r w:rsidR="00E37273">
        <w:rPr>
          <w:rFonts w:ascii="Times New Roman" w:eastAsia="Times New Roman" w:hAnsi="Times New Roman"/>
          <w:i/>
          <w:sz w:val="24"/>
          <w:szCs w:val="24"/>
          <w:lang w:eastAsia="lv-LV"/>
        </w:rPr>
        <w:t>V.</w:t>
      </w:r>
      <w:r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Uzvārds, Amats</w:t>
      </w:r>
      <w:proofErr w:type="gramStart"/>
      <w:r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                                                  </w:t>
      </w:r>
      <w:r w:rsidR="00C857E8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</w:t>
      </w:r>
      <w:proofErr w:type="gramEnd"/>
      <w:r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>Paraksts*</w:t>
      </w:r>
    </w:p>
    <w:p w:rsidR="009F073F" w:rsidRPr="006A3AEE" w:rsidRDefault="009F073F" w:rsidP="009F073F">
      <w:pPr>
        <w:spacing w:after="0" w:line="240" w:lineRule="auto"/>
        <w:ind w:left="-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9F073F" w:rsidRPr="006A3AEE" w:rsidRDefault="009F073F" w:rsidP="009F073F">
      <w:pPr>
        <w:spacing w:after="0" w:line="240" w:lineRule="auto"/>
        <w:ind w:left="-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                                                                                         ________________________</w:t>
      </w:r>
    </w:p>
    <w:p w:rsidR="009F073F" w:rsidRPr="006A3AEE" w:rsidRDefault="009F073F" w:rsidP="009F073F">
      <w:pPr>
        <w:spacing w:after="0" w:line="240" w:lineRule="auto"/>
        <w:ind w:left="-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</w:t>
      </w:r>
      <w:r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Datums*</w:t>
      </w:r>
    </w:p>
    <w:p w:rsidR="00E11069" w:rsidRPr="009F073F" w:rsidRDefault="009F073F" w:rsidP="009F073F">
      <w:pPr>
        <w:tabs>
          <w:tab w:val="left" w:pos="0"/>
        </w:tabs>
        <w:spacing w:after="0" w:line="240" w:lineRule="auto"/>
        <w:ind w:right="-902"/>
        <w:jc w:val="both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E57764">
        <w:rPr>
          <w:rFonts w:ascii="Times New Roman" w:eastAsia="Times New Roman" w:hAnsi="Times New Roman"/>
          <w:i/>
          <w:sz w:val="20"/>
          <w:szCs w:val="20"/>
          <w:lang w:eastAsia="lv-LV"/>
        </w:rPr>
        <w:t>*Dokumenta rekvizītus "datums" un "paraksts" neaizpilda, ja elektroniskais dokuments ir sagatavots atbilstoši normatīvajiem aktiem par elektronisko dokumentu noformēšanu.</w:t>
      </w:r>
    </w:p>
    <w:sectPr w:rsidR="00E11069" w:rsidRPr="009F073F" w:rsidSect="00154E39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4D"/>
    <w:rsid w:val="000001B0"/>
    <w:rsid w:val="00143E58"/>
    <w:rsid w:val="00154E39"/>
    <w:rsid w:val="0019589A"/>
    <w:rsid w:val="001F11BA"/>
    <w:rsid w:val="00222022"/>
    <w:rsid w:val="002274CC"/>
    <w:rsid w:val="0026352E"/>
    <w:rsid w:val="002D73AD"/>
    <w:rsid w:val="002F572E"/>
    <w:rsid w:val="00303DE9"/>
    <w:rsid w:val="003550A9"/>
    <w:rsid w:val="003A454E"/>
    <w:rsid w:val="003B7D3D"/>
    <w:rsid w:val="00455F59"/>
    <w:rsid w:val="004D35EA"/>
    <w:rsid w:val="005053F9"/>
    <w:rsid w:val="00544ADB"/>
    <w:rsid w:val="00561FD5"/>
    <w:rsid w:val="005823A1"/>
    <w:rsid w:val="005A4811"/>
    <w:rsid w:val="005C3036"/>
    <w:rsid w:val="005F0AFA"/>
    <w:rsid w:val="0061172B"/>
    <w:rsid w:val="00623312"/>
    <w:rsid w:val="006A6430"/>
    <w:rsid w:val="007656A8"/>
    <w:rsid w:val="007D4F5C"/>
    <w:rsid w:val="007F1AC0"/>
    <w:rsid w:val="008372CD"/>
    <w:rsid w:val="008806D2"/>
    <w:rsid w:val="00892940"/>
    <w:rsid w:val="008A0D0F"/>
    <w:rsid w:val="008A36E1"/>
    <w:rsid w:val="008F1597"/>
    <w:rsid w:val="00936EB3"/>
    <w:rsid w:val="00976B02"/>
    <w:rsid w:val="009B0506"/>
    <w:rsid w:val="009F073F"/>
    <w:rsid w:val="00A462D4"/>
    <w:rsid w:val="00AE2987"/>
    <w:rsid w:val="00B60E7E"/>
    <w:rsid w:val="00C05661"/>
    <w:rsid w:val="00C1145C"/>
    <w:rsid w:val="00C72838"/>
    <w:rsid w:val="00C857E8"/>
    <w:rsid w:val="00CF424D"/>
    <w:rsid w:val="00D0230F"/>
    <w:rsid w:val="00D315D4"/>
    <w:rsid w:val="00D61184"/>
    <w:rsid w:val="00DC4EFF"/>
    <w:rsid w:val="00E07573"/>
    <w:rsid w:val="00E11069"/>
    <w:rsid w:val="00E37273"/>
    <w:rsid w:val="00E57B64"/>
    <w:rsid w:val="00EB6FFE"/>
    <w:rsid w:val="00ED097D"/>
    <w:rsid w:val="00EE477F"/>
    <w:rsid w:val="00F058A6"/>
    <w:rsid w:val="00F36008"/>
    <w:rsid w:val="00FB1891"/>
    <w:rsid w:val="00FC72F3"/>
    <w:rsid w:val="00FD73CF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40405-9048-4BE0-BE63-ED08801E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1">
    <w:name w:val="tv2131"/>
    <w:basedOn w:val="Normal"/>
    <w:rsid w:val="00FB1891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BDEB0-9C59-4C39-B701-B80FE507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2827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Edīte Drozda</dc:creator>
  <cp:keywords/>
  <dc:description/>
  <cp:lastModifiedBy>Edīte Drozda</cp:lastModifiedBy>
  <cp:revision>30</cp:revision>
  <cp:lastPrinted>2015-10-16T11:25:00Z</cp:lastPrinted>
  <dcterms:created xsi:type="dcterms:W3CDTF">2015-10-08T13:07:00Z</dcterms:created>
  <dcterms:modified xsi:type="dcterms:W3CDTF">2016-01-05T14:15:00Z</dcterms:modified>
</cp:coreProperties>
</file>